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94" w:rsidRPr="00EF7669" w:rsidRDefault="00EF7669" w:rsidP="00EF7669">
      <w:pPr>
        <w:jc w:val="both"/>
        <w:rPr>
          <w:rFonts w:cstheme="minorHAnsi"/>
          <w:bCs/>
          <w:sz w:val="20"/>
        </w:rPr>
      </w:pPr>
      <w:r>
        <w:rPr>
          <w:rFonts w:cstheme="minorHAnsi"/>
        </w:rPr>
        <w:t xml:space="preserve">  </w:t>
      </w:r>
      <w:r w:rsidR="00A35130" w:rsidRPr="00EF7669">
        <w:rPr>
          <w:rFonts w:cstheme="minorHAnsi"/>
          <w:sz w:val="20"/>
        </w:rPr>
        <w:t>N°33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    </w:t>
      </w:r>
      <w:r w:rsidR="004A25BC">
        <w:rPr>
          <w:rFonts w:cstheme="minorHAnsi"/>
          <w:sz w:val="20"/>
        </w:rPr>
        <w:t xml:space="preserve">        </w:t>
      </w:r>
      <w:r w:rsidR="00A35130" w:rsidRPr="00EF7669">
        <w:rPr>
          <w:rFonts w:cstheme="minorHAnsi"/>
          <w:color w:val="000000"/>
          <w:sz w:val="20"/>
        </w:rPr>
        <w:t xml:space="preserve">du </w:t>
      </w:r>
      <w:r w:rsidR="004A25BC">
        <w:rPr>
          <w:rFonts w:cstheme="minorHAnsi"/>
          <w:color w:val="000000"/>
          <w:sz w:val="20"/>
        </w:rPr>
        <w:t>04/10/</w:t>
      </w:r>
      <w:r w:rsidR="009E3931" w:rsidRPr="00EF7669">
        <w:rPr>
          <w:rFonts w:cstheme="minorHAnsi"/>
          <w:color w:val="000000"/>
          <w:sz w:val="20"/>
        </w:rPr>
        <w:t xml:space="preserve">2012 – Rédacteur : </w:t>
      </w:r>
      <w:r>
        <w:rPr>
          <w:rFonts w:cstheme="minorHAnsi"/>
          <w:color w:val="000000"/>
          <w:sz w:val="20"/>
        </w:rPr>
        <w:t>SM</w:t>
      </w:r>
    </w:p>
    <w:p w:rsidR="00EF7669" w:rsidRDefault="00EF7669" w:rsidP="00EF7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OUVERTURE DU SERVICE GALAXY</w:t>
      </w:r>
    </w:p>
    <w:p w:rsidR="00EF7669" w:rsidRDefault="00EF7669" w:rsidP="00EF76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:rsidR="00E475FD" w:rsidRDefault="00E475FD" w:rsidP="00B759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Cs/>
        </w:rPr>
      </w:pPr>
      <w:r w:rsidRPr="00DA2C59">
        <w:rPr>
          <w:rFonts w:cstheme="minorHAnsi"/>
          <w:bCs/>
        </w:rPr>
        <w:t xml:space="preserve">Cette note est destinée aux membres des équipes de recherche utilisant les outils de génomique pour l'étude des génomes des animaux d'élevage. Elle a pour but de vous informer sur la mise en place d’un nouveau service : la plateforme </w:t>
      </w:r>
      <w:proofErr w:type="spellStart"/>
      <w:r w:rsidRPr="00DA2C59">
        <w:rPr>
          <w:rFonts w:cstheme="minorHAnsi"/>
          <w:bCs/>
        </w:rPr>
        <w:t>Galaxy</w:t>
      </w:r>
      <w:proofErr w:type="spellEnd"/>
      <w:r w:rsidRPr="00DA2C59">
        <w:rPr>
          <w:rFonts w:cstheme="minorHAnsi"/>
          <w:bCs/>
        </w:rPr>
        <w:t>.</w:t>
      </w:r>
    </w:p>
    <w:p w:rsidR="00B75938" w:rsidRDefault="00B75938" w:rsidP="00DA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DB2994" w:rsidRPr="00B75938" w:rsidRDefault="00B75938" w:rsidP="00DA2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B75938">
        <w:rPr>
          <w:rFonts w:cstheme="minorHAnsi"/>
          <w:b/>
          <w:bCs/>
          <w:sz w:val="24"/>
        </w:rPr>
        <w:t xml:space="preserve">Comment se connecter à </w:t>
      </w:r>
      <w:proofErr w:type="spellStart"/>
      <w:r w:rsidRPr="00B75938">
        <w:rPr>
          <w:rFonts w:cstheme="minorHAnsi"/>
          <w:b/>
          <w:bCs/>
          <w:sz w:val="24"/>
        </w:rPr>
        <w:t>Galaxy</w:t>
      </w:r>
      <w:proofErr w:type="spellEnd"/>
      <w:r w:rsidRPr="00B75938">
        <w:rPr>
          <w:rFonts w:cstheme="minorHAnsi"/>
          <w:b/>
          <w:bCs/>
          <w:sz w:val="24"/>
        </w:rPr>
        <w:t> ?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06"/>
        <w:gridCol w:w="5083"/>
      </w:tblGrid>
      <w:tr w:rsidR="00175051" w:rsidRPr="00DA2C59" w:rsidTr="00E35993">
        <w:tc>
          <w:tcPr>
            <w:tcW w:w="4806" w:type="dxa"/>
          </w:tcPr>
          <w:p w:rsidR="00F27F55" w:rsidRPr="00DA2C59" w:rsidRDefault="00F27F55" w:rsidP="00DA2C5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175051" w:rsidRPr="00DA2C59" w:rsidRDefault="00175051" w:rsidP="00DA2C5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2029AE" w:rsidRPr="00DA2C59" w:rsidRDefault="002029AE" w:rsidP="00DA2C5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2029AE" w:rsidRPr="00DA2C59" w:rsidRDefault="002029AE" w:rsidP="00DA2C59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DA2C59">
              <w:rPr>
                <w:rFonts w:cstheme="minorHAnsi"/>
                <w:b/>
                <w:bCs/>
                <w:noProof/>
                <w:u w:val="single"/>
                <w:lang w:eastAsia="fr-FR"/>
              </w:rPr>
              <w:drawing>
                <wp:inline distT="0" distB="0" distL="0" distR="0">
                  <wp:extent cx="2886075" cy="1596450"/>
                  <wp:effectExtent l="19050" t="0" r="9525" b="0"/>
                  <wp:docPr id="2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248" r="496" b="7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587" cy="159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</w:tcPr>
          <w:p w:rsidR="00AD6445" w:rsidRDefault="00AD6445" w:rsidP="00DA2C59">
            <w:pPr>
              <w:ind w:firstLine="36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L’Université d’</w:t>
            </w:r>
            <w:proofErr w:type="spellStart"/>
            <w:r>
              <w:rPr>
                <w:rFonts w:cstheme="minorHAnsi"/>
                <w:bCs/>
              </w:rPr>
              <w:t>Emory</w:t>
            </w:r>
            <w:proofErr w:type="spellEnd"/>
            <w:r>
              <w:rPr>
                <w:rFonts w:cstheme="minorHAnsi"/>
                <w:bCs/>
              </w:rPr>
              <w:t xml:space="preserve"> et le</w:t>
            </w:r>
            <w:r w:rsidR="00175051" w:rsidRPr="00DA2C59">
              <w:rPr>
                <w:rFonts w:cstheme="minorHAnsi"/>
                <w:bCs/>
              </w:rPr>
              <w:t xml:space="preserve"> « Centre génomique et bioinformatique» de Penn State</w:t>
            </w:r>
            <w:r>
              <w:rPr>
                <w:rFonts w:cstheme="minorHAnsi"/>
                <w:bCs/>
              </w:rPr>
              <w:t xml:space="preserve"> développent depuis plusieurs années un environnement de traitements (bio</w:t>
            </w:r>
            <w:proofErr w:type="gramStart"/>
            <w:r>
              <w:rPr>
                <w:rFonts w:cstheme="minorHAnsi"/>
                <w:bCs/>
              </w:rPr>
              <w:t>)informatiques</w:t>
            </w:r>
            <w:proofErr w:type="gramEnd"/>
            <w:r>
              <w:rPr>
                <w:rFonts w:cstheme="minorHAnsi"/>
                <w:bCs/>
              </w:rPr>
              <w:t xml:space="preserve"> pour les biologistes.</w:t>
            </w:r>
          </w:p>
          <w:p w:rsidR="00AD6445" w:rsidRDefault="00AD6445" w:rsidP="00DA2C59">
            <w:pPr>
              <w:ind w:firstLine="36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Cet outil open source est conçu pour être installé sur les infrastructures de calcul locales. </w:t>
            </w:r>
            <w:proofErr w:type="spellStart"/>
            <w:r>
              <w:rPr>
                <w:rFonts w:cstheme="minorHAnsi"/>
                <w:bCs/>
              </w:rPr>
              <w:t>Sigenae</w:t>
            </w:r>
            <w:proofErr w:type="spellEnd"/>
            <w:r>
              <w:rPr>
                <w:rFonts w:cstheme="minorHAnsi"/>
                <w:bCs/>
              </w:rPr>
              <w:t xml:space="preserve"> et </w:t>
            </w:r>
            <w:proofErr w:type="spellStart"/>
            <w:r>
              <w:rPr>
                <w:rFonts w:cstheme="minorHAnsi"/>
                <w:bCs/>
              </w:rPr>
              <w:t>Genotoul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Bioinfo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="00222433">
              <w:rPr>
                <w:rFonts w:cstheme="minorHAnsi"/>
                <w:bCs/>
              </w:rPr>
              <w:t>mett</w:t>
            </w:r>
            <w:r w:rsidR="00B83554">
              <w:rPr>
                <w:rFonts w:cstheme="minorHAnsi"/>
                <w:bCs/>
              </w:rPr>
              <w:t xml:space="preserve">ent désormais ce service </w:t>
            </w:r>
            <w:r w:rsidR="00222433">
              <w:rPr>
                <w:rFonts w:cstheme="minorHAnsi"/>
                <w:bCs/>
              </w:rPr>
              <w:t>à votre disposition</w:t>
            </w:r>
            <w:r w:rsidR="00B83554">
              <w:rPr>
                <w:rFonts w:cstheme="minorHAnsi"/>
                <w:bCs/>
              </w:rPr>
              <w:t xml:space="preserve">. </w:t>
            </w:r>
          </w:p>
          <w:p w:rsidR="00454732" w:rsidRPr="00DA2C59" w:rsidRDefault="00B83554" w:rsidP="00DA2C59">
            <w:pPr>
              <w:ind w:firstLine="36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Il est accessible au travers de l’</w:t>
            </w:r>
            <w:r w:rsidR="00F27F55" w:rsidRPr="00DA2C59">
              <w:rPr>
                <w:rFonts w:cstheme="minorHAnsi"/>
                <w:bCs/>
              </w:rPr>
              <w:t>URL</w:t>
            </w:r>
            <w:r>
              <w:rPr>
                <w:rFonts w:cstheme="minorHAnsi"/>
                <w:bCs/>
              </w:rPr>
              <w:t> :</w:t>
            </w:r>
          </w:p>
          <w:p w:rsidR="00AD56F3" w:rsidRPr="00DA2C59" w:rsidRDefault="002B21FA" w:rsidP="00DA2C59">
            <w:pPr>
              <w:jc w:val="both"/>
              <w:rPr>
                <w:rFonts w:cstheme="minorHAnsi"/>
                <w:bCs/>
              </w:rPr>
            </w:pPr>
            <w:hyperlink r:id="rId8" w:history="1">
              <w:r w:rsidR="00175051" w:rsidRPr="00DA2C59">
                <w:rPr>
                  <w:rStyle w:val="Lienhypertexte"/>
                  <w:rFonts w:cstheme="minorHAnsi"/>
                  <w:bCs/>
                </w:rPr>
                <w:t>http://sigenae-workbench.toulouse.inra.fr</w:t>
              </w:r>
            </w:hyperlink>
            <w:r w:rsidR="00175051" w:rsidRPr="00DA2C59">
              <w:rPr>
                <w:rFonts w:cstheme="minorHAnsi"/>
                <w:bCs/>
              </w:rPr>
              <w:t xml:space="preserve"> </w:t>
            </w:r>
          </w:p>
          <w:p w:rsidR="00175051" w:rsidRPr="00DA2C59" w:rsidRDefault="00B83554" w:rsidP="00DA2C59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L’environnement est sécurisé pour garantir la confidentialité de vos données. La connexion s’effectue donc à l’aide de </w:t>
            </w:r>
            <w:r w:rsidR="00901EC6" w:rsidRPr="00DA2C59">
              <w:rPr>
                <w:rFonts w:cstheme="minorHAnsi"/>
                <w:bCs/>
              </w:rPr>
              <w:t>votre</w:t>
            </w:r>
            <w:r w:rsidR="00175051" w:rsidRPr="00DA2C59">
              <w:rPr>
                <w:rFonts w:cstheme="minorHAnsi"/>
                <w:bCs/>
              </w:rPr>
              <w:t xml:space="preserve"> login et mot de passe </w:t>
            </w:r>
            <w:proofErr w:type="spellStart"/>
            <w:r w:rsidR="00175051" w:rsidRPr="00DA2C59">
              <w:rPr>
                <w:rFonts w:cstheme="minorHAnsi"/>
                <w:bCs/>
              </w:rPr>
              <w:t>Genotoul</w:t>
            </w:r>
            <w:proofErr w:type="spellEnd"/>
            <w:r w:rsidR="00175051" w:rsidRPr="00DA2C59">
              <w:rPr>
                <w:rFonts w:cstheme="minorHAnsi"/>
                <w:bCs/>
              </w:rPr>
              <w:t>.</w:t>
            </w:r>
          </w:p>
          <w:p w:rsidR="00175051" w:rsidRPr="00DA2C59" w:rsidRDefault="00175051" w:rsidP="00DA2C5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</w:tbl>
    <w:p w:rsidR="00E35993" w:rsidRDefault="00E35993" w:rsidP="00DA2C59">
      <w:pPr>
        <w:jc w:val="both"/>
      </w:pPr>
      <w:r w:rsidRPr="00DA2C59">
        <w:rPr>
          <w:rFonts w:cstheme="minorHAnsi"/>
          <w:bCs/>
        </w:rPr>
        <w:t xml:space="preserve">Si vous n’avez pas de login </w:t>
      </w:r>
      <w:proofErr w:type="spellStart"/>
      <w:r w:rsidRPr="00DA2C59">
        <w:rPr>
          <w:rFonts w:cstheme="minorHAnsi"/>
          <w:bCs/>
        </w:rPr>
        <w:t>Genotoul</w:t>
      </w:r>
      <w:proofErr w:type="spellEnd"/>
      <w:r w:rsidRPr="00DA2C59">
        <w:rPr>
          <w:rFonts w:cstheme="minorHAnsi"/>
          <w:bCs/>
        </w:rPr>
        <w:t xml:space="preserve">, vous pouvez vous en procurer un </w:t>
      </w:r>
      <w:r w:rsidR="00901EC6" w:rsidRPr="00DA2C59">
        <w:rPr>
          <w:rFonts w:cstheme="minorHAnsi"/>
          <w:bCs/>
        </w:rPr>
        <w:t xml:space="preserve">en </w:t>
      </w:r>
      <w:r w:rsidRPr="00DA2C59">
        <w:rPr>
          <w:rFonts w:cstheme="minorHAnsi"/>
          <w:bCs/>
        </w:rPr>
        <w:t xml:space="preserve">demandant l’ouverture d’un compte à l’adresse suivante : </w:t>
      </w:r>
      <w:hyperlink r:id="rId9" w:history="1">
        <w:r w:rsidRPr="00DA2C59">
          <w:rPr>
            <w:rStyle w:val="Lienhypertexte"/>
            <w:rFonts w:cstheme="minorHAnsi"/>
            <w:bCs/>
          </w:rPr>
          <w:t>http://bioinfo.genotoul.fr/index.php?id=81</w:t>
        </w:r>
      </w:hyperlink>
    </w:p>
    <w:p w:rsidR="00CC44FC" w:rsidRPr="00DA2C59" w:rsidRDefault="005E6143" w:rsidP="00DA2C59">
      <w:pPr>
        <w:numPr>
          <w:ilvl w:val="0"/>
          <w:numId w:val="4"/>
        </w:numPr>
        <w:jc w:val="both"/>
        <w:rPr>
          <w:rFonts w:cstheme="minorHAnsi"/>
          <w:bCs/>
          <w:sz w:val="24"/>
          <w:u w:val="single"/>
        </w:rPr>
      </w:pPr>
      <w:r w:rsidRPr="00DA2C59">
        <w:rPr>
          <w:rFonts w:cstheme="minorHAnsi"/>
          <w:b/>
          <w:bCs/>
          <w:sz w:val="24"/>
        </w:rPr>
        <w:t>Une interface simplifiée et intuitive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56"/>
        <w:gridCol w:w="3156"/>
      </w:tblGrid>
      <w:tr w:rsidR="00831981" w:rsidRPr="00DA2C59" w:rsidTr="00831981">
        <w:tc>
          <w:tcPr>
            <w:tcW w:w="6056" w:type="dxa"/>
          </w:tcPr>
          <w:p w:rsidR="004043CA" w:rsidRDefault="004043CA" w:rsidP="00DA2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Une fois connecté, vous pourrez facilement charger vos données, lancer des analyses, et construire des chaînes de traitements.</w:t>
            </w:r>
          </w:p>
          <w:p w:rsidR="004043CA" w:rsidRDefault="004043CA" w:rsidP="00DA2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Les différentes fonctionnalités disponibles sont :</w:t>
            </w:r>
          </w:p>
          <w:p w:rsidR="00831981" w:rsidRPr="00DA2C59" w:rsidRDefault="004043CA" w:rsidP="00DA2C5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Accès à des </w:t>
            </w:r>
            <w:r w:rsidR="00831981" w:rsidRPr="00DA2C59">
              <w:rPr>
                <w:rFonts w:asciiTheme="minorHAnsi" w:hAnsiTheme="minorHAnsi" w:cstheme="minorHAnsi"/>
                <w:sz w:val="22"/>
                <w:szCs w:val="22"/>
              </w:rPr>
              <w:t xml:space="preserve">données privées et publiques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issues de UCSC,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Ensembl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NG6,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BIOMART ..</w:t>
            </w:r>
            <w:proofErr w:type="gramEnd"/>
          </w:p>
          <w:p w:rsidR="004043CA" w:rsidRDefault="004043CA" w:rsidP="00DA2C5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Manipulation de gros fichiers (copier, coller, trier, joindre …) tout en évitant d’avoir à saisir les lignes de commande.</w:t>
            </w:r>
          </w:p>
          <w:p w:rsidR="004043CA" w:rsidRDefault="004043CA" w:rsidP="00DA2C5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Analyse de la qualité des séquences.</w:t>
            </w:r>
          </w:p>
          <w:p w:rsidR="00831981" w:rsidRPr="004043CA" w:rsidRDefault="004043CA" w:rsidP="004043CA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Alignement de séquences et recherche de polymorphismes, analyses d’expression ou de régulation</w:t>
            </w:r>
            <w:r w:rsidR="00831981" w:rsidRPr="00DA2C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43CA" w:rsidRDefault="004043CA" w:rsidP="00DA2C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Cet environnement vous permet aussi, en quelques clics, d’a</w:t>
            </w:r>
            <w:r w:rsidRPr="00DA2C59">
              <w:rPr>
                <w:rFonts w:cstheme="minorHAnsi"/>
              </w:rPr>
              <w:t xml:space="preserve">rchiver, </w:t>
            </w:r>
            <w:r>
              <w:rPr>
                <w:rFonts w:cstheme="minorHAnsi"/>
              </w:rPr>
              <w:t xml:space="preserve">de </w:t>
            </w:r>
            <w:r w:rsidRPr="00DA2C59">
              <w:rPr>
                <w:rFonts w:cstheme="minorHAnsi"/>
              </w:rPr>
              <w:t xml:space="preserve">dupliquer et </w:t>
            </w:r>
            <w:r>
              <w:rPr>
                <w:rFonts w:cstheme="minorHAnsi"/>
              </w:rPr>
              <w:t xml:space="preserve">de </w:t>
            </w:r>
            <w:r w:rsidRPr="00DA2C59">
              <w:rPr>
                <w:rFonts w:cstheme="minorHAnsi"/>
              </w:rPr>
              <w:t>partager vos analyses et vos fichiers de données</w:t>
            </w:r>
          </w:p>
          <w:p w:rsidR="00831981" w:rsidRPr="00DA2C59" w:rsidRDefault="004043CA" w:rsidP="00DA2C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</w:t>
            </w:r>
            <w:r w:rsidR="00831981" w:rsidRPr="00DA2C59">
              <w:rPr>
                <w:rFonts w:cstheme="minorHAnsi"/>
              </w:rPr>
              <w:t xml:space="preserve">disque dur </w:t>
            </w:r>
            <w:r>
              <w:rPr>
                <w:rFonts w:cstheme="minorHAnsi"/>
              </w:rPr>
              <w:t xml:space="preserve">et la puissance de calcul de votre PC ne sont plus </w:t>
            </w:r>
            <w:proofErr w:type="spellStart"/>
            <w:r>
              <w:rPr>
                <w:rFonts w:cstheme="minorHAnsi"/>
              </w:rPr>
              <w:t>limitants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831981" w:rsidRPr="00DA2C59">
              <w:rPr>
                <w:rFonts w:cstheme="minorHAnsi"/>
              </w:rPr>
              <w:t xml:space="preserve">étant donné que les fichiers sont chargés dans l’espace de travail de </w:t>
            </w:r>
            <w:proofErr w:type="spellStart"/>
            <w:r w:rsidR="00831981" w:rsidRPr="00DA2C59">
              <w:rPr>
                <w:rFonts w:cstheme="minorHAnsi"/>
              </w:rPr>
              <w:t>Galaxy</w:t>
            </w:r>
            <w:proofErr w:type="spellEnd"/>
            <w:r w:rsidR="00831981" w:rsidRPr="00DA2C59">
              <w:rPr>
                <w:rFonts w:cstheme="minorHAnsi"/>
              </w:rPr>
              <w:t xml:space="preserve"> et les traitements sont automatiquement envoyés sur le cluster</w:t>
            </w:r>
            <w:r>
              <w:rPr>
                <w:rFonts w:cstheme="minorHAnsi"/>
              </w:rPr>
              <w:t xml:space="preserve"> de calcul de la plateforme </w:t>
            </w:r>
            <w:proofErr w:type="spellStart"/>
            <w:r>
              <w:rPr>
                <w:rFonts w:cstheme="minorHAnsi"/>
              </w:rPr>
              <w:t>Genotoul</w:t>
            </w:r>
            <w:proofErr w:type="spellEnd"/>
            <w:r w:rsidR="00831981" w:rsidRPr="00DA2C59">
              <w:rPr>
                <w:rFonts w:cstheme="minorHAnsi"/>
              </w:rPr>
              <w:t>.</w:t>
            </w:r>
          </w:p>
          <w:p w:rsidR="00831981" w:rsidRPr="00DA2C59" w:rsidRDefault="00831981" w:rsidP="004043CA">
            <w:pPr>
              <w:jc w:val="both"/>
              <w:rPr>
                <w:rFonts w:cstheme="minorHAnsi"/>
              </w:rPr>
            </w:pPr>
            <w:r w:rsidRPr="00DA2C59">
              <w:rPr>
                <w:rFonts w:cstheme="minorHAnsi"/>
              </w:rPr>
              <w:t xml:space="preserve">Chaque utilisateur dispose </w:t>
            </w:r>
            <w:r w:rsidR="004043CA">
              <w:rPr>
                <w:rFonts w:cstheme="minorHAnsi"/>
              </w:rPr>
              <w:t xml:space="preserve">au démarrage </w:t>
            </w:r>
            <w:r w:rsidRPr="00DA2C59">
              <w:rPr>
                <w:rFonts w:cstheme="minorHAnsi"/>
              </w:rPr>
              <w:t>d’un quota de 10 Gb</w:t>
            </w:r>
            <w:r w:rsidR="004043CA">
              <w:rPr>
                <w:rFonts w:cstheme="minorHAnsi"/>
              </w:rPr>
              <w:t>, pouvant évoluer en fonction des demandes</w:t>
            </w:r>
            <w:r w:rsidRPr="00DA2C59">
              <w:rPr>
                <w:rFonts w:cstheme="minorHAnsi"/>
              </w:rPr>
              <w:t>.</w:t>
            </w:r>
          </w:p>
        </w:tc>
        <w:tc>
          <w:tcPr>
            <w:tcW w:w="3156" w:type="dxa"/>
          </w:tcPr>
          <w:p w:rsidR="00831981" w:rsidRPr="00DA2C59" w:rsidRDefault="00831981" w:rsidP="00DA2C59">
            <w:pPr>
              <w:jc w:val="both"/>
              <w:rPr>
                <w:rFonts w:cstheme="minorHAnsi"/>
              </w:rPr>
            </w:pPr>
            <w:r w:rsidRPr="00DA2C59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1847850" cy="3237964"/>
                  <wp:effectExtent l="19050" t="0" r="0" b="0"/>
                  <wp:docPr id="1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09" t="19174" r="73289" b="41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723" cy="3237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C69" w:rsidRPr="00DA2C59" w:rsidRDefault="00F65C69" w:rsidP="00DA2C59">
      <w:pPr>
        <w:numPr>
          <w:ilvl w:val="0"/>
          <w:numId w:val="4"/>
        </w:numPr>
        <w:jc w:val="both"/>
        <w:rPr>
          <w:rFonts w:cstheme="minorHAnsi"/>
          <w:b/>
          <w:bCs/>
          <w:sz w:val="24"/>
        </w:rPr>
      </w:pPr>
      <w:r w:rsidRPr="00DA2C59">
        <w:rPr>
          <w:rFonts w:cstheme="minorHAnsi"/>
          <w:b/>
          <w:bCs/>
          <w:sz w:val="24"/>
        </w:rPr>
        <w:lastRenderedPageBreak/>
        <w:t>Possibilité d’utiliser facilement des données stockées dans ng6</w:t>
      </w:r>
    </w:p>
    <w:p w:rsidR="0000773C" w:rsidRPr="00DA2C59" w:rsidRDefault="0000773C" w:rsidP="00DA2C59">
      <w:pPr>
        <w:jc w:val="both"/>
        <w:rPr>
          <w:rFonts w:cstheme="minorHAnsi"/>
          <w:bCs/>
        </w:rPr>
      </w:pPr>
      <w:r w:rsidRPr="00DA2C59">
        <w:rPr>
          <w:rFonts w:cstheme="minorHAnsi"/>
          <w:bCs/>
        </w:rPr>
        <w:t>Vos données</w:t>
      </w:r>
      <w:r w:rsidR="004043CA">
        <w:rPr>
          <w:rFonts w:cstheme="minorHAnsi"/>
          <w:bCs/>
        </w:rPr>
        <w:t xml:space="preserve"> stockées dans NG6 peuvent être rendues visibles</w:t>
      </w:r>
      <w:r w:rsidRPr="00DA2C59">
        <w:rPr>
          <w:rFonts w:cstheme="minorHAnsi"/>
          <w:bCs/>
        </w:rPr>
        <w:t xml:space="preserve"> dans </w:t>
      </w:r>
      <w:proofErr w:type="spellStart"/>
      <w:r w:rsidRPr="00DA2C59">
        <w:rPr>
          <w:rFonts w:cstheme="minorHAnsi"/>
          <w:bCs/>
        </w:rPr>
        <w:t>Galaxy</w:t>
      </w:r>
      <w:proofErr w:type="spellEnd"/>
      <w:r w:rsidR="004043CA">
        <w:rPr>
          <w:rFonts w:cstheme="minorHAnsi"/>
          <w:bCs/>
        </w:rPr>
        <w:t xml:space="preserve"> sans duplication des fichiers</w:t>
      </w:r>
      <w:r w:rsidRPr="00DA2C59">
        <w:rPr>
          <w:rFonts w:cstheme="minorHAnsi"/>
          <w:bCs/>
        </w:rPr>
        <w:t>. Une vidéo de formation est dis</w:t>
      </w:r>
      <w:r w:rsidR="004043CA">
        <w:rPr>
          <w:rFonts w:cstheme="minorHAnsi"/>
          <w:bCs/>
        </w:rPr>
        <w:t>ponible sur « </w:t>
      </w:r>
      <w:proofErr w:type="spellStart"/>
      <w:r w:rsidR="004043CA">
        <w:rPr>
          <w:rFonts w:cstheme="minorHAnsi"/>
          <w:bCs/>
        </w:rPr>
        <w:t>sig</w:t>
      </w:r>
      <w:proofErr w:type="spellEnd"/>
      <w:r w:rsidR="004043CA">
        <w:rPr>
          <w:rFonts w:cstheme="minorHAnsi"/>
          <w:bCs/>
        </w:rPr>
        <w:t>-</w:t>
      </w:r>
      <w:proofErr w:type="spellStart"/>
      <w:r w:rsidR="004043CA">
        <w:rPr>
          <w:rFonts w:cstheme="minorHAnsi"/>
          <w:bCs/>
        </w:rPr>
        <w:t>learning</w:t>
      </w:r>
      <w:proofErr w:type="spellEnd"/>
      <w:r w:rsidR="004043CA">
        <w:rPr>
          <w:rFonts w:cstheme="minorHAnsi"/>
          <w:bCs/>
        </w:rPr>
        <w:t> » (cf. Lettre d’information N°34) : C</w:t>
      </w:r>
      <w:r w:rsidRPr="00DA2C59">
        <w:rPr>
          <w:rFonts w:cstheme="minorHAnsi"/>
          <w:bCs/>
        </w:rPr>
        <w:t xml:space="preserve">hapitre « 1 - </w:t>
      </w:r>
      <w:proofErr w:type="spellStart"/>
      <w:r w:rsidRPr="00DA2C59">
        <w:rPr>
          <w:rFonts w:cstheme="minorHAnsi"/>
          <w:bCs/>
        </w:rPr>
        <w:t>Galaxy</w:t>
      </w:r>
      <w:proofErr w:type="spellEnd"/>
      <w:r w:rsidRPr="00DA2C59">
        <w:rPr>
          <w:rFonts w:cstheme="minorHAnsi"/>
          <w:bCs/>
        </w:rPr>
        <w:t xml:space="preserve"> User Interface », dans la section « Import </w:t>
      </w:r>
      <w:proofErr w:type="spellStart"/>
      <w:r w:rsidRPr="00DA2C59">
        <w:rPr>
          <w:rFonts w:cstheme="minorHAnsi"/>
          <w:bCs/>
        </w:rPr>
        <w:t>Dataset</w:t>
      </w:r>
      <w:proofErr w:type="spellEnd"/>
      <w:r w:rsidRPr="00DA2C59">
        <w:rPr>
          <w:rFonts w:cstheme="minorHAnsi"/>
          <w:bCs/>
        </w:rPr>
        <w:t> » puis la page « </w:t>
      </w:r>
      <w:bookmarkStart w:id="0" w:name="atoc_42"/>
      <w:bookmarkStart w:id="1" w:name="atoc_44"/>
      <w:bookmarkStart w:id="2" w:name="atoc_45"/>
      <w:bookmarkStart w:id="3" w:name="atoc_66"/>
      <w:bookmarkEnd w:id="0"/>
      <w:bookmarkEnd w:id="1"/>
      <w:bookmarkEnd w:id="2"/>
      <w:bookmarkEnd w:id="3"/>
      <w:proofErr w:type="spellStart"/>
      <w:r w:rsidR="002B21FA" w:rsidRPr="00DA2C59">
        <w:rPr>
          <w:rFonts w:cstheme="minorHAnsi"/>
          <w:bCs/>
        </w:rPr>
        <w:fldChar w:fldCharType="begin"/>
      </w:r>
      <w:r w:rsidRPr="00DA2C59">
        <w:rPr>
          <w:rFonts w:cstheme="minorHAnsi"/>
          <w:bCs/>
        </w:rPr>
        <w:instrText xml:space="preserve"> HYPERLINK "http://sig-learning.toulouse.inra.fr/main/newscorm/lp_controller.php?cidReq=GALA01&amp;action=view&amp;lp_id=6" </w:instrText>
      </w:r>
      <w:r w:rsidR="002B21FA" w:rsidRPr="00DA2C59">
        <w:rPr>
          <w:rFonts w:cstheme="minorHAnsi"/>
          <w:bCs/>
        </w:rPr>
        <w:fldChar w:fldCharType="separate"/>
      </w:r>
      <w:r w:rsidRPr="00DA2C59">
        <w:rPr>
          <w:rFonts w:cstheme="minorHAnsi"/>
          <w:bCs/>
        </w:rPr>
        <w:t>Dataset</w:t>
      </w:r>
      <w:proofErr w:type="spellEnd"/>
      <w:r w:rsidRPr="00DA2C59">
        <w:rPr>
          <w:rFonts w:cstheme="minorHAnsi"/>
          <w:bCs/>
        </w:rPr>
        <w:t xml:space="preserve"> </w:t>
      </w:r>
      <w:proofErr w:type="spellStart"/>
      <w:r w:rsidRPr="00DA2C59">
        <w:rPr>
          <w:rFonts w:cstheme="minorHAnsi"/>
          <w:bCs/>
        </w:rPr>
        <w:t>from</w:t>
      </w:r>
      <w:proofErr w:type="spellEnd"/>
      <w:r w:rsidRPr="00DA2C59">
        <w:rPr>
          <w:rFonts w:cstheme="minorHAnsi"/>
          <w:bCs/>
        </w:rPr>
        <w:t xml:space="preserve"> NG6</w:t>
      </w:r>
      <w:r w:rsidR="002B21FA" w:rsidRPr="00DA2C59">
        <w:rPr>
          <w:rFonts w:cstheme="minorHAnsi"/>
          <w:bCs/>
        </w:rPr>
        <w:fldChar w:fldCharType="end"/>
      </w:r>
      <w:r w:rsidRPr="00DA2C59">
        <w:rPr>
          <w:rFonts w:cstheme="minorHAnsi"/>
          <w:bCs/>
        </w:rPr>
        <w:t> ».</w:t>
      </w:r>
    </w:p>
    <w:p w:rsidR="00CC44FC" w:rsidRPr="00DA2C59" w:rsidRDefault="00F6341E" w:rsidP="00DA2C59">
      <w:pPr>
        <w:numPr>
          <w:ilvl w:val="0"/>
          <w:numId w:val="4"/>
        </w:numPr>
        <w:jc w:val="both"/>
        <w:rPr>
          <w:rFonts w:cstheme="minorHAnsi"/>
          <w:bCs/>
          <w:sz w:val="24"/>
        </w:rPr>
      </w:pPr>
      <w:r>
        <w:rPr>
          <w:rFonts w:cstheme="minorHAnsi"/>
          <w:b/>
          <w:bCs/>
          <w:sz w:val="24"/>
        </w:rPr>
        <w:t>V</w:t>
      </w:r>
      <w:r w:rsidR="005E6143" w:rsidRPr="00DA2C59">
        <w:rPr>
          <w:rFonts w:cstheme="minorHAnsi"/>
          <w:b/>
          <w:bCs/>
          <w:sz w:val="24"/>
        </w:rPr>
        <w:t xml:space="preserve">os </w:t>
      </w:r>
      <w:r>
        <w:rPr>
          <w:rFonts w:cstheme="minorHAnsi"/>
          <w:b/>
          <w:bCs/>
          <w:sz w:val="24"/>
        </w:rPr>
        <w:t xml:space="preserve">chaînes de </w:t>
      </w:r>
      <w:r w:rsidR="005E6143" w:rsidRPr="00DA2C59">
        <w:rPr>
          <w:rFonts w:cstheme="minorHAnsi"/>
          <w:b/>
          <w:bCs/>
          <w:sz w:val="24"/>
        </w:rPr>
        <w:t xml:space="preserve">traitements </w:t>
      </w:r>
    </w:p>
    <w:p w:rsidR="00F6341E" w:rsidRPr="00F6341E" w:rsidRDefault="001F3312" w:rsidP="00F6341E">
      <w:pPr>
        <w:jc w:val="both"/>
        <w:rPr>
          <w:rFonts w:cstheme="minorHAnsi"/>
        </w:rPr>
      </w:pPr>
      <w:proofErr w:type="spellStart"/>
      <w:r w:rsidRPr="00F6341E">
        <w:rPr>
          <w:rFonts w:cstheme="minorHAnsi"/>
        </w:rPr>
        <w:t>Galaxy</w:t>
      </w:r>
      <w:proofErr w:type="spellEnd"/>
      <w:r w:rsidRPr="00F6341E">
        <w:rPr>
          <w:rFonts w:cstheme="minorHAnsi"/>
        </w:rPr>
        <w:t xml:space="preserve"> </w:t>
      </w:r>
      <w:r w:rsidR="00DA2C59" w:rsidRPr="00F6341E">
        <w:rPr>
          <w:rFonts w:cstheme="minorHAnsi"/>
        </w:rPr>
        <w:t xml:space="preserve">vous permet de </w:t>
      </w:r>
      <w:r w:rsidR="00F6341E">
        <w:rPr>
          <w:rFonts w:cstheme="minorHAnsi"/>
        </w:rPr>
        <w:t>créer</w:t>
      </w:r>
      <w:r w:rsidRPr="00F6341E">
        <w:rPr>
          <w:rFonts w:cstheme="minorHAnsi"/>
        </w:rPr>
        <w:t xml:space="preserve"> </w:t>
      </w:r>
      <w:r w:rsidR="00F6341E" w:rsidRPr="00F6341E">
        <w:rPr>
          <w:rFonts w:cstheme="minorHAnsi"/>
        </w:rPr>
        <w:t xml:space="preserve">graphiquement </w:t>
      </w:r>
      <w:r w:rsidRPr="00F6341E">
        <w:rPr>
          <w:rFonts w:cstheme="minorHAnsi"/>
        </w:rPr>
        <w:t>vos chaînes de traitement</w:t>
      </w:r>
      <w:r w:rsidR="00F6341E" w:rsidRPr="00F6341E">
        <w:rPr>
          <w:rFonts w:cstheme="minorHAnsi"/>
        </w:rPr>
        <w:t xml:space="preserve">s, de les </w:t>
      </w:r>
      <w:r w:rsidR="00F6341E">
        <w:rPr>
          <w:rFonts w:cstheme="minorHAnsi"/>
        </w:rPr>
        <w:t>(</w:t>
      </w:r>
      <w:proofErr w:type="spellStart"/>
      <w:r w:rsidR="00F6341E">
        <w:rPr>
          <w:rFonts w:cstheme="minorHAnsi"/>
        </w:rPr>
        <w:t>re</w:t>
      </w:r>
      <w:proofErr w:type="spellEnd"/>
      <w:r w:rsidR="00F6341E">
        <w:rPr>
          <w:rFonts w:cstheme="minorHAnsi"/>
        </w:rPr>
        <w:t>)</w:t>
      </w:r>
      <w:r w:rsidR="00F6341E" w:rsidRPr="00F6341E">
        <w:rPr>
          <w:rFonts w:cstheme="minorHAnsi"/>
        </w:rPr>
        <w:t>lancer en changeant les fichiers à traiter et de les partager avec vos collaborateurs.</w:t>
      </w:r>
    </w:p>
    <w:p w:rsidR="001F3312" w:rsidRPr="00DA2C59" w:rsidRDefault="00F6341E" w:rsidP="00DA2C59">
      <w:pPr>
        <w:ind w:left="720"/>
        <w:jc w:val="both"/>
        <w:rPr>
          <w:rFonts w:cstheme="minorHAnsi"/>
          <w:bCs/>
        </w:rPr>
      </w:pPr>
      <w:r w:rsidRPr="00DA2C59">
        <w:rPr>
          <w:rFonts w:cstheme="minorHAnsi"/>
          <w:bCs/>
          <w:noProof/>
          <w:lang w:eastAsia="fr-FR"/>
        </w:rPr>
        <w:drawing>
          <wp:inline distT="0" distB="0" distL="0" distR="0">
            <wp:extent cx="5040630" cy="2171700"/>
            <wp:effectExtent l="19050" t="0" r="762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531" t="48745" r="42907" b="3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35" w:rsidRPr="00DA2C59" w:rsidRDefault="00F6341E" w:rsidP="00DA2C59">
      <w:pPr>
        <w:numPr>
          <w:ilvl w:val="0"/>
          <w:numId w:val="4"/>
        </w:numPr>
        <w:jc w:val="both"/>
        <w:rPr>
          <w:rFonts w:cstheme="minorHAnsi"/>
          <w:bCs/>
          <w:sz w:val="24"/>
        </w:rPr>
      </w:pPr>
      <w:r>
        <w:rPr>
          <w:rFonts w:cstheme="minorHAnsi"/>
          <w:b/>
          <w:bCs/>
          <w:sz w:val="24"/>
        </w:rPr>
        <w:t xml:space="preserve">Une instance </w:t>
      </w:r>
      <w:r w:rsidR="00BD5535" w:rsidRPr="00DA2C59">
        <w:rPr>
          <w:rFonts w:cstheme="minorHAnsi"/>
          <w:b/>
          <w:bCs/>
          <w:sz w:val="24"/>
        </w:rPr>
        <w:t>adaptée à vos besoins</w:t>
      </w:r>
    </w:p>
    <w:p w:rsidR="0045113C" w:rsidRPr="0045113C" w:rsidRDefault="0045113C" w:rsidP="0045113C">
      <w:pPr>
        <w:jc w:val="both"/>
      </w:pPr>
      <w:r>
        <w:rPr>
          <w:rFonts w:cstheme="minorHAnsi"/>
        </w:rPr>
        <w:t>Une centaine d’</w:t>
      </w:r>
      <w:r w:rsidR="00BD5535" w:rsidRPr="00DA2C59">
        <w:rPr>
          <w:rFonts w:cstheme="minorHAnsi"/>
        </w:rPr>
        <w:t xml:space="preserve">outils </w:t>
      </w:r>
      <w:r>
        <w:rPr>
          <w:rFonts w:cstheme="minorHAnsi"/>
        </w:rPr>
        <w:t>est</w:t>
      </w:r>
      <w:r w:rsidR="00BD5535" w:rsidRPr="00DA2C59">
        <w:rPr>
          <w:rFonts w:cstheme="minorHAnsi"/>
        </w:rPr>
        <w:t xml:space="preserve"> déjà disponible</w:t>
      </w:r>
      <w:r>
        <w:rPr>
          <w:rFonts w:cstheme="minorHAnsi"/>
        </w:rPr>
        <w:t xml:space="preserve">. Si toutefois ces outils ne correspondent pas à vos besoins, vous pouvez demander l’ajout d’outils en envoyant un mail à </w:t>
      </w:r>
      <w:hyperlink r:id="rId12" w:history="1">
        <w:r w:rsidRPr="00DA2C59">
          <w:rPr>
            <w:rStyle w:val="Lienhypertexte"/>
          </w:rPr>
          <w:t>sigenae-support@listes.inra.fr</w:t>
        </w:r>
      </w:hyperlink>
      <w:r>
        <w:t xml:space="preserve"> .</w:t>
      </w:r>
    </w:p>
    <w:p w:rsidR="003E572C" w:rsidRPr="00DA2C59" w:rsidRDefault="003E572C" w:rsidP="00DA2C59">
      <w:pPr>
        <w:numPr>
          <w:ilvl w:val="0"/>
          <w:numId w:val="4"/>
        </w:numPr>
        <w:jc w:val="both"/>
        <w:rPr>
          <w:rFonts w:cstheme="minorHAnsi"/>
          <w:bCs/>
          <w:sz w:val="24"/>
        </w:rPr>
      </w:pPr>
      <w:r w:rsidRPr="00DA2C59">
        <w:rPr>
          <w:rFonts w:cstheme="minorHAnsi"/>
          <w:b/>
          <w:bCs/>
          <w:sz w:val="24"/>
        </w:rPr>
        <w:t xml:space="preserve">Vous souhaitez vous former ? Vous avez des questions ? </w:t>
      </w:r>
    </w:p>
    <w:p w:rsidR="0045113C" w:rsidRDefault="0045113C" w:rsidP="00DA2C59">
      <w:pPr>
        <w:jc w:val="both"/>
      </w:pPr>
      <w:r>
        <w:t xml:space="preserve">Après la période de tests en cours, des sessions de formation à l’analyse des données à l’aide de </w:t>
      </w:r>
      <w:proofErr w:type="spellStart"/>
      <w:r>
        <w:t>Galaxy</w:t>
      </w:r>
      <w:proofErr w:type="spellEnd"/>
      <w:r>
        <w:t>, seront ouvertes aux utilisateurs, au premier trimestre 2013.</w:t>
      </w:r>
    </w:p>
    <w:p w:rsidR="003E572C" w:rsidRDefault="0045113C" w:rsidP="00DA2C59">
      <w:pPr>
        <w:jc w:val="both"/>
        <w:rPr>
          <w:rFonts w:cstheme="minorHAnsi"/>
          <w:bCs/>
        </w:rPr>
      </w:pPr>
      <w:r>
        <w:t xml:space="preserve">D’autre part, un environnement </w:t>
      </w:r>
      <w:r w:rsidR="002C2A4E">
        <w:t>d’</w:t>
      </w:r>
      <w:r w:rsidR="002C2A4E" w:rsidRPr="00DA2C59">
        <w:t>auto</w:t>
      </w:r>
      <w:r w:rsidR="003E572C" w:rsidRPr="00DA2C59">
        <w:t>-formation en ligne est accessible depuis la plateforme « </w:t>
      </w:r>
      <w:proofErr w:type="spellStart"/>
      <w:r w:rsidR="003E572C" w:rsidRPr="00DA2C59">
        <w:t>sig</w:t>
      </w:r>
      <w:proofErr w:type="spellEnd"/>
      <w:r w:rsidR="003E572C" w:rsidRPr="00DA2C59">
        <w:t>-</w:t>
      </w:r>
      <w:proofErr w:type="spellStart"/>
      <w:r w:rsidR="003E572C" w:rsidRPr="00DA2C59">
        <w:t>learning</w:t>
      </w:r>
      <w:proofErr w:type="spellEnd"/>
      <w:r w:rsidR="003E572C" w:rsidRPr="00DA2C59">
        <w:t xml:space="preserve"> » : </w:t>
      </w:r>
      <w:hyperlink r:id="rId13" w:history="1">
        <w:r w:rsidR="003E572C" w:rsidRPr="00DA2C59">
          <w:rPr>
            <w:rStyle w:val="Lienhypertexte"/>
            <w:rFonts w:cstheme="minorHAnsi"/>
            <w:bCs/>
          </w:rPr>
          <w:t>http://sig-learning.toulouse.inra.fr</w:t>
        </w:r>
      </w:hyperlink>
      <w:r w:rsidR="003E572C" w:rsidRPr="00DA2C5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(login et mot de passe </w:t>
      </w:r>
      <w:proofErr w:type="spellStart"/>
      <w:r>
        <w:rPr>
          <w:rFonts w:cstheme="minorHAnsi"/>
          <w:bCs/>
        </w:rPr>
        <w:t>Genotoul</w:t>
      </w:r>
      <w:proofErr w:type="spellEnd"/>
      <w:r>
        <w:rPr>
          <w:rFonts w:cstheme="minorHAnsi"/>
          <w:bCs/>
        </w:rPr>
        <w:t>).</w:t>
      </w:r>
    </w:p>
    <w:p w:rsidR="002C2A4E" w:rsidRPr="00DA2C59" w:rsidRDefault="002C2A4E" w:rsidP="002C2A4E">
      <w:pPr>
        <w:numPr>
          <w:ilvl w:val="0"/>
          <w:numId w:val="4"/>
        </w:numPr>
        <w:jc w:val="both"/>
        <w:rPr>
          <w:rFonts w:cstheme="minorHAnsi"/>
          <w:bCs/>
          <w:sz w:val="24"/>
        </w:rPr>
      </w:pPr>
      <w:r>
        <w:rPr>
          <w:rFonts w:cstheme="minorHAnsi"/>
          <w:b/>
          <w:bCs/>
          <w:sz w:val="24"/>
        </w:rPr>
        <w:t xml:space="preserve">Pour en savoir plus sur </w:t>
      </w:r>
      <w:proofErr w:type="spellStart"/>
      <w:r>
        <w:rPr>
          <w:rFonts w:cstheme="minorHAnsi"/>
          <w:b/>
          <w:bCs/>
          <w:sz w:val="24"/>
        </w:rPr>
        <w:t>Galaxy</w:t>
      </w:r>
      <w:proofErr w:type="spellEnd"/>
      <w:r w:rsidRPr="00DA2C59">
        <w:rPr>
          <w:rFonts w:cstheme="minorHAnsi"/>
          <w:b/>
          <w:bCs/>
          <w:sz w:val="24"/>
        </w:rPr>
        <w:t xml:space="preserve"> </w:t>
      </w:r>
    </w:p>
    <w:p w:rsidR="00085D71" w:rsidRDefault="00085D71" w:rsidP="00085D71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Pour suivre les évolutions de la plateforme de </w:t>
      </w:r>
      <w:proofErr w:type="spellStart"/>
      <w:r>
        <w:rPr>
          <w:rFonts w:cstheme="minorHAnsi"/>
          <w:bCs/>
        </w:rPr>
        <w:t>Galaxy</w:t>
      </w:r>
      <w:proofErr w:type="spellEnd"/>
      <w:r>
        <w:rPr>
          <w:rFonts w:cstheme="minorHAnsi"/>
          <w:bCs/>
        </w:rPr>
        <w:t xml:space="preserve"> : </w:t>
      </w:r>
      <w:hyperlink r:id="rId14" w:history="1">
        <w:r w:rsidRPr="00CF0040">
          <w:rPr>
            <w:rStyle w:val="Lienhypertexte"/>
            <w:rFonts w:cstheme="minorHAnsi"/>
            <w:bCs/>
          </w:rPr>
          <w:t>http://wiki.g2.bx.psu.edu/Learn</w:t>
        </w:r>
      </w:hyperlink>
    </w:p>
    <w:p w:rsidR="002C2A4E" w:rsidRDefault="002C2A4E" w:rsidP="00085D71">
      <w:pPr>
        <w:spacing w:after="0"/>
        <w:jc w:val="both"/>
        <w:rPr>
          <w:rFonts w:cstheme="minorHAnsi"/>
          <w:bCs/>
        </w:rPr>
      </w:pPr>
      <w:r w:rsidRPr="002C2A4E">
        <w:rPr>
          <w:rFonts w:cstheme="minorHAnsi"/>
          <w:bCs/>
        </w:rPr>
        <w:t xml:space="preserve">Les utilisateurs français se sont organisés en communauté, dont le site est : </w:t>
      </w:r>
      <w:r w:rsidR="00085D71">
        <w:rPr>
          <w:rFonts w:cstheme="minorHAnsi"/>
          <w:bCs/>
        </w:rPr>
        <w:t xml:space="preserve"> </w:t>
      </w:r>
    </w:p>
    <w:p w:rsidR="002C2A4E" w:rsidRPr="002C2A4E" w:rsidRDefault="002B21FA" w:rsidP="00085D71">
      <w:pPr>
        <w:pStyle w:val="PrformatHTML"/>
        <w:rPr>
          <w:rStyle w:val="Lienhypertexte"/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hyperlink r:id="rId15" w:history="1">
        <w:r w:rsidR="002C2A4E" w:rsidRPr="002C2A4E">
          <w:rPr>
            <w:rStyle w:val="Lienhypertexte"/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http://france.list.galaxyproject.org</w:t>
        </w:r>
      </w:hyperlink>
    </w:p>
    <w:p w:rsidR="00085D71" w:rsidRDefault="00085D71" w:rsidP="00DA2C59">
      <w:pPr>
        <w:jc w:val="both"/>
        <w:rPr>
          <w:sz w:val="18"/>
          <w:szCs w:val="18"/>
        </w:rPr>
      </w:pPr>
    </w:p>
    <w:p w:rsidR="001D1C62" w:rsidRPr="00085D71" w:rsidRDefault="001D1C62" w:rsidP="00DA2C59">
      <w:pPr>
        <w:jc w:val="both"/>
        <w:rPr>
          <w:sz w:val="18"/>
          <w:szCs w:val="18"/>
        </w:rPr>
      </w:pPr>
      <w:r w:rsidRPr="00085D71">
        <w:rPr>
          <w:sz w:val="18"/>
          <w:szCs w:val="18"/>
        </w:rPr>
        <w:t xml:space="preserve">Pour toute demande (renseignement, installation, ajout d’outil, bug, etc.), veuillez envoyer un mail à </w:t>
      </w:r>
      <w:hyperlink r:id="rId16" w:history="1">
        <w:r w:rsidRPr="00085D71">
          <w:rPr>
            <w:rStyle w:val="Lienhypertexte"/>
            <w:sz w:val="18"/>
            <w:szCs w:val="18"/>
          </w:rPr>
          <w:t>sigenae-support@listes.inra.fr</w:t>
        </w:r>
      </w:hyperlink>
    </w:p>
    <w:sectPr w:rsidR="001D1C62" w:rsidRPr="00085D71" w:rsidSect="00AB4D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4E" w:rsidRDefault="002C2A4E" w:rsidP="00DB2994">
      <w:pPr>
        <w:spacing w:after="0" w:line="240" w:lineRule="auto"/>
      </w:pPr>
      <w:r>
        <w:separator/>
      </w:r>
    </w:p>
  </w:endnote>
  <w:endnote w:type="continuationSeparator" w:id="0">
    <w:p w:rsidR="002C2A4E" w:rsidRDefault="002C2A4E" w:rsidP="00D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5E" w:rsidRDefault="00A310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b/>
        <w:sz w:val="24"/>
        <w:szCs w:val="24"/>
      </w:rPr>
      <w:id w:val="23037624"/>
      <w:docPartObj>
        <w:docPartGallery w:val="Page Numbers (Bottom of Page)"/>
        <w:docPartUnique/>
      </w:docPartObj>
    </w:sdtPr>
    <w:sdtContent>
      <w:p w:rsidR="002C2A4E" w:rsidRPr="00831981" w:rsidRDefault="002C2A4E">
        <w:pPr>
          <w:pStyle w:val="Pieddepage"/>
          <w:jc w:val="right"/>
          <w:rPr>
            <w:rFonts w:cstheme="minorHAnsi"/>
            <w:b/>
            <w:sz w:val="24"/>
            <w:szCs w:val="24"/>
          </w:rPr>
        </w:pPr>
        <w:r w:rsidRPr="00831981">
          <w:rPr>
            <w:rFonts w:cstheme="minorHAnsi"/>
            <w:b/>
            <w:sz w:val="24"/>
            <w:szCs w:val="24"/>
          </w:rPr>
          <w:t xml:space="preserve">01/10/2012 </w:t>
        </w:r>
        <w:r w:rsidRPr="00831981">
          <w:rPr>
            <w:rFonts w:cstheme="minorHAnsi"/>
            <w:b/>
            <w:sz w:val="24"/>
            <w:szCs w:val="24"/>
          </w:rPr>
          <w:tab/>
          <w:t>SIGENAE – lettre d'information N°33</w:t>
        </w:r>
        <w:r w:rsidRPr="00831981">
          <w:rPr>
            <w:rFonts w:cstheme="minorHAnsi"/>
            <w:b/>
            <w:sz w:val="24"/>
            <w:szCs w:val="24"/>
          </w:rPr>
          <w:tab/>
        </w:r>
        <w:r w:rsidRPr="00831981">
          <w:rPr>
            <w:rFonts w:cstheme="minorHAnsi"/>
            <w:b/>
            <w:sz w:val="24"/>
            <w:szCs w:val="24"/>
          </w:rPr>
          <w:tab/>
          <w:t xml:space="preserve">Page </w:t>
        </w:r>
        <w:r w:rsidR="002B21FA" w:rsidRPr="00831981">
          <w:rPr>
            <w:rFonts w:cstheme="minorHAnsi"/>
            <w:b/>
            <w:sz w:val="24"/>
            <w:szCs w:val="24"/>
          </w:rPr>
          <w:fldChar w:fldCharType="begin"/>
        </w:r>
        <w:r w:rsidRPr="00831981">
          <w:rPr>
            <w:rFonts w:cstheme="minorHAnsi"/>
            <w:b/>
            <w:sz w:val="24"/>
            <w:szCs w:val="24"/>
          </w:rPr>
          <w:instrText xml:space="preserve"> PAGE   \* MERGEFORMAT </w:instrText>
        </w:r>
        <w:r w:rsidR="002B21FA" w:rsidRPr="00831981">
          <w:rPr>
            <w:rFonts w:cstheme="minorHAnsi"/>
            <w:b/>
            <w:sz w:val="24"/>
            <w:szCs w:val="24"/>
          </w:rPr>
          <w:fldChar w:fldCharType="separate"/>
        </w:r>
        <w:r w:rsidR="00366BF7">
          <w:rPr>
            <w:rFonts w:cstheme="minorHAnsi"/>
            <w:b/>
            <w:noProof/>
            <w:sz w:val="24"/>
            <w:szCs w:val="24"/>
          </w:rPr>
          <w:t>1</w:t>
        </w:r>
        <w:r w:rsidR="002B21FA" w:rsidRPr="00831981">
          <w:rPr>
            <w:rFonts w:cstheme="minorHAnsi"/>
            <w:b/>
            <w:sz w:val="24"/>
            <w:szCs w:val="24"/>
          </w:rPr>
          <w:fldChar w:fldCharType="end"/>
        </w:r>
        <w:r w:rsidRPr="00831981">
          <w:rPr>
            <w:rFonts w:cstheme="minorHAnsi"/>
            <w:b/>
            <w:sz w:val="24"/>
            <w:szCs w:val="24"/>
          </w:rPr>
          <w:t>/2</w:t>
        </w:r>
      </w:p>
    </w:sdtContent>
  </w:sdt>
  <w:p w:rsidR="002C2A4E" w:rsidRPr="00DB2994" w:rsidRDefault="002C2A4E">
    <w:pPr>
      <w:pStyle w:val="Pieddepage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5E" w:rsidRDefault="00A310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4E" w:rsidRDefault="002C2A4E" w:rsidP="00DB2994">
      <w:pPr>
        <w:spacing w:after="0" w:line="240" w:lineRule="auto"/>
      </w:pPr>
      <w:r>
        <w:separator/>
      </w:r>
    </w:p>
  </w:footnote>
  <w:footnote w:type="continuationSeparator" w:id="0">
    <w:p w:rsidR="002C2A4E" w:rsidRDefault="002C2A4E" w:rsidP="00DB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5E" w:rsidRDefault="00A3105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4E" w:rsidRDefault="002C2A4E">
    <w:pPr>
      <w:pStyle w:val="En-tte"/>
    </w:pPr>
    <w:r>
      <w:tab/>
    </w:r>
  </w:p>
  <w:tbl>
    <w:tblPr>
      <w:tblStyle w:val="Grilledutablea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31"/>
      <w:gridCol w:w="4744"/>
      <w:gridCol w:w="2556"/>
    </w:tblGrid>
    <w:tr w:rsidR="002C2A4E" w:rsidTr="00EF7669">
      <w:trPr>
        <w:trHeight w:val="851"/>
      </w:trPr>
      <w:tc>
        <w:tcPr>
          <w:tcW w:w="2736" w:type="dxa"/>
        </w:tcPr>
        <w:p w:rsidR="002C2A4E" w:rsidRDefault="00366BF7" w:rsidP="00AD6445">
          <w:pPr>
            <w:pStyle w:val="En-tte"/>
          </w:pPr>
          <w:r w:rsidRPr="00366BF7">
            <w:rPr>
              <w:noProof/>
              <w:lang w:eastAsia="fr-FR"/>
            </w:rPr>
            <w:drawing>
              <wp:inline distT="0" distB="0" distL="0" distR="0">
                <wp:extent cx="1504950" cy="615315"/>
                <wp:effectExtent l="19050" t="0" r="0" b="0"/>
                <wp:docPr id="3" name="Image 2" descr="C:\Users\smaman\AppData\Local\Temp\genotoul-bioinf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aman\AppData\Local\Temp\genotoul-bioinf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143" cy="615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5" w:type="dxa"/>
        </w:tcPr>
        <w:p w:rsidR="002C2A4E" w:rsidRPr="00EF7669" w:rsidRDefault="002C2A4E" w:rsidP="00AD6445">
          <w:pPr>
            <w:pStyle w:val="En-tte"/>
            <w:jc w:val="center"/>
            <w:rPr>
              <w:rFonts w:cstheme="minorHAnsi"/>
              <w:b/>
              <w:bCs/>
              <w:color w:val="808080" w:themeColor="background1" w:themeShade="80"/>
              <w:sz w:val="24"/>
              <w:szCs w:val="20"/>
            </w:rPr>
          </w:pPr>
          <w:r w:rsidRPr="00EF7669">
            <w:rPr>
              <w:rFonts w:cstheme="minorHAnsi"/>
              <w:b/>
              <w:bCs/>
              <w:color w:val="808080" w:themeColor="background1" w:themeShade="80"/>
              <w:sz w:val="24"/>
              <w:szCs w:val="20"/>
            </w:rPr>
            <w:t>Lettre d'information</w:t>
          </w:r>
        </w:p>
        <w:p w:rsidR="002C2A4E" w:rsidRPr="00EF7669" w:rsidRDefault="002C2A4E" w:rsidP="00EF7669">
          <w:pPr>
            <w:pStyle w:val="En-tte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0"/>
            </w:rPr>
          </w:pPr>
          <w:r w:rsidRPr="00EF7669">
            <w:rPr>
              <w:rFonts w:cstheme="minorHAnsi"/>
              <w:b/>
              <w:bCs/>
              <w:color w:val="808080" w:themeColor="background1" w:themeShade="80"/>
              <w:sz w:val="24"/>
              <w:szCs w:val="20"/>
            </w:rPr>
            <w:t>SIGENAE</w:t>
          </w:r>
          <w:r w:rsidRPr="00EF7669"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0"/>
            </w:rPr>
            <w:t xml:space="preserve"> &amp; </w:t>
          </w:r>
          <w:proofErr w:type="spellStart"/>
          <w:r w:rsidRPr="00EF7669"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0"/>
            </w:rPr>
            <w:t>Genotoul</w:t>
          </w:r>
          <w:proofErr w:type="spellEnd"/>
          <w:r w:rsidRPr="00EF7669"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0"/>
            </w:rPr>
            <w:t xml:space="preserve"> </w:t>
          </w:r>
          <w:proofErr w:type="spellStart"/>
          <w:r w:rsidRPr="00EF7669"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0"/>
            </w:rPr>
            <w:t>Bioinfo</w:t>
          </w:r>
          <w:proofErr w:type="spellEnd"/>
        </w:p>
      </w:tc>
      <w:tc>
        <w:tcPr>
          <w:tcW w:w="2410" w:type="dxa"/>
        </w:tcPr>
        <w:p w:rsidR="002C2A4E" w:rsidRDefault="00A3105E" w:rsidP="00AD6445">
          <w:pPr>
            <w:pStyle w:val="En-tte"/>
          </w:pPr>
          <w:r w:rsidRPr="00A3105E">
            <w:rPr>
              <w:noProof/>
              <w:lang w:eastAsia="fr-FR"/>
            </w:rPr>
            <w:drawing>
              <wp:inline distT="0" distB="0" distL="0" distR="0">
                <wp:extent cx="1465896" cy="428625"/>
                <wp:effectExtent l="19050" t="0" r="954" b="0"/>
                <wp:docPr id="2" name="Image 1" descr="C:\Users\smaman\AppData\Local\Temp\logo_sigenae_text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aman\AppData\Local\Temp\logo_sigenae_text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467" cy="43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2A4E" w:rsidRDefault="002C2A4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5E" w:rsidRDefault="00A3105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C85"/>
    <w:multiLevelType w:val="hybridMultilevel"/>
    <w:tmpl w:val="B32AF7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6B425A"/>
    <w:multiLevelType w:val="hybridMultilevel"/>
    <w:tmpl w:val="8B7211C2"/>
    <w:lvl w:ilvl="0" w:tplc="825A2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23A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40D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4AD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2F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66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299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6F3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47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E6CD4"/>
    <w:multiLevelType w:val="hybridMultilevel"/>
    <w:tmpl w:val="BC6E70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BF7316"/>
    <w:multiLevelType w:val="hybridMultilevel"/>
    <w:tmpl w:val="D0FAA4B8"/>
    <w:lvl w:ilvl="0" w:tplc="9196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08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A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8D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8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E5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0B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3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0A19C7"/>
    <w:multiLevelType w:val="hybridMultilevel"/>
    <w:tmpl w:val="51EE6B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1C747C"/>
    <w:multiLevelType w:val="hybridMultilevel"/>
    <w:tmpl w:val="2DFE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D77EF"/>
    <w:multiLevelType w:val="hybridMultilevel"/>
    <w:tmpl w:val="BE72B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464B"/>
    <w:rsid w:val="0000773C"/>
    <w:rsid w:val="0004452C"/>
    <w:rsid w:val="000602F4"/>
    <w:rsid w:val="00085D71"/>
    <w:rsid w:val="00090460"/>
    <w:rsid w:val="000F3E7D"/>
    <w:rsid w:val="0014464B"/>
    <w:rsid w:val="00167B25"/>
    <w:rsid w:val="00175051"/>
    <w:rsid w:val="001819C6"/>
    <w:rsid w:val="00193F1B"/>
    <w:rsid w:val="001D1C62"/>
    <w:rsid w:val="001F3312"/>
    <w:rsid w:val="002029AE"/>
    <w:rsid w:val="00203C4C"/>
    <w:rsid w:val="00222433"/>
    <w:rsid w:val="00223E89"/>
    <w:rsid w:val="00242732"/>
    <w:rsid w:val="002B21FA"/>
    <w:rsid w:val="002C2A4E"/>
    <w:rsid w:val="00304372"/>
    <w:rsid w:val="00321EA8"/>
    <w:rsid w:val="00343231"/>
    <w:rsid w:val="00366BF7"/>
    <w:rsid w:val="003E572C"/>
    <w:rsid w:val="004043CA"/>
    <w:rsid w:val="00427A9F"/>
    <w:rsid w:val="0045038C"/>
    <w:rsid w:val="0045113C"/>
    <w:rsid w:val="00454732"/>
    <w:rsid w:val="004A25BC"/>
    <w:rsid w:val="0056687E"/>
    <w:rsid w:val="005A4674"/>
    <w:rsid w:val="005A5078"/>
    <w:rsid w:val="005E6143"/>
    <w:rsid w:val="00633DF5"/>
    <w:rsid w:val="006A3489"/>
    <w:rsid w:val="00764B4F"/>
    <w:rsid w:val="00831981"/>
    <w:rsid w:val="00866011"/>
    <w:rsid w:val="00876388"/>
    <w:rsid w:val="008E677E"/>
    <w:rsid w:val="00901EC6"/>
    <w:rsid w:val="009E3931"/>
    <w:rsid w:val="00A0758C"/>
    <w:rsid w:val="00A3105E"/>
    <w:rsid w:val="00A35130"/>
    <w:rsid w:val="00A441F5"/>
    <w:rsid w:val="00AA562A"/>
    <w:rsid w:val="00AB4DA4"/>
    <w:rsid w:val="00AC1B73"/>
    <w:rsid w:val="00AD56F3"/>
    <w:rsid w:val="00AD6445"/>
    <w:rsid w:val="00AE234F"/>
    <w:rsid w:val="00B7112B"/>
    <w:rsid w:val="00B75938"/>
    <w:rsid w:val="00B83554"/>
    <w:rsid w:val="00B9526C"/>
    <w:rsid w:val="00BA6F2A"/>
    <w:rsid w:val="00BC50E9"/>
    <w:rsid w:val="00BD5535"/>
    <w:rsid w:val="00C24944"/>
    <w:rsid w:val="00C4128E"/>
    <w:rsid w:val="00C700AC"/>
    <w:rsid w:val="00C86450"/>
    <w:rsid w:val="00C9151B"/>
    <w:rsid w:val="00CC44FC"/>
    <w:rsid w:val="00D16ADA"/>
    <w:rsid w:val="00D27115"/>
    <w:rsid w:val="00D77BFA"/>
    <w:rsid w:val="00D93B60"/>
    <w:rsid w:val="00DA2C59"/>
    <w:rsid w:val="00DB2994"/>
    <w:rsid w:val="00E35993"/>
    <w:rsid w:val="00E475FD"/>
    <w:rsid w:val="00E843CA"/>
    <w:rsid w:val="00EF7669"/>
    <w:rsid w:val="00F16551"/>
    <w:rsid w:val="00F27F55"/>
    <w:rsid w:val="00F6341E"/>
    <w:rsid w:val="00F6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64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441F5"/>
    <w:rPr>
      <w:color w:val="0000FF" w:themeColor="hyperlink"/>
      <w:u w:val="single"/>
    </w:rPr>
  </w:style>
  <w:style w:type="character" w:customStyle="1" w:styleId="hps">
    <w:name w:val="hps"/>
    <w:basedOn w:val="Policepardfaut"/>
    <w:rsid w:val="00A441F5"/>
  </w:style>
  <w:style w:type="paragraph" w:styleId="Paragraphedeliste">
    <w:name w:val="List Paragraph"/>
    <w:basedOn w:val="Normal"/>
    <w:uiPriority w:val="34"/>
    <w:qFormat/>
    <w:rsid w:val="00C70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700AC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DB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2994"/>
  </w:style>
  <w:style w:type="paragraph" w:styleId="Pieddepage">
    <w:name w:val="footer"/>
    <w:basedOn w:val="Normal"/>
    <w:link w:val="PieddepageCar"/>
    <w:uiPriority w:val="99"/>
    <w:unhideWhenUsed/>
    <w:rsid w:val="00DB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994"/>
  </w:style>
  <w:style w:type="table" w:styleId="Grilledutableau">
    <w:name w:val="Table Grid"/>
    <w:basedOn w:val="TableauNormal"/>
    <w:uiPriority w:val="59"/>
    <w:rsid w:val="001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9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046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enae-workbench.toulouse.inra.fr" TargetMode="External"/><Relationship Id="rId13" Type="http://schemas.openxmlformats.org/officeDocument/2006/relationships/hyperlink" Target="http://sig-learning.toulouse.inra.f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sigenae-support@listes.inra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igenae-support@listes.inra.f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rance.list.galaxyproject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oinfo.genotoul.fr/index.php?id=81" TargetMode="External"/><Relationship Id="rId14" Type="http://schemas.openxmlformats.org/officeDocument/2006/relationships/hyperlink" Target="http://wiki.g2.bx.psu.edu/Lear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INRA-LGC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smaman</dc:creator>
  <cp:lastModifiedBy>smaman</cp:lastModifiedBy>
  <cp:revision>36</cp:revision>
  <cp:lastPrinted>2012-10-01T13:37:00Z</cp:lastPrinted>
  <dcterms:created xsi:type="dcterms:W3CDTF">2012-10-01T13:32:00Z</dcterms:created>
  <dcterms:modified xsi:type="dcterms:W3CDTF">2012-10-03T14:39:00Z</dcterms:modified>
</cp:coreProperties>
</file>